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layfair Display" w:cs="Playfair Display" w:eastAsia="Playfair Display" w:hAnsi="Playfair Display"/>
          <w:b w:val="1"/>
          <w:sz w:val="40"/>
          <w:szCs w:val="40"/>
          <w:u w:val="single"/>
        </w:rPr>
      </w:pPr>
      <w:r w:rsidDel="00000000" w:rsidR="00000000" w:rsidRPr="00000000">
        <w:rPr>
          <w:rFonts w:ascii="Playfair Display" w:cs="Playfair Display" w:eastAsia="Playfair Display" w:hAnsi="Playfair Display"/>
          <w:b w:val="1"/>
          <w:sz w:val="40"/>
          <w:szCs w:val="40"/>
          <w:u w:val="single"/>
          <w:rtl w:val="0"/>
        </w:rPr>
        <w:t xml:space="preserve">2025-2026 Legislative Agenda</w:t>
      </w:r>
    </w:p>
    <w:p w:rsidR="00000000" w:rsidDel="00000000" w:rsidP="00000000" w:rsidRDefault="00000000" w:rsidRPr="00000000" w14:paraId="00000002">
      <w:pPr>
        <w:ind w:firstLine="720"/>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Budget Priorities </w:t>
      </w:r>
    </w:p>
    <w:tbl>
      <w:tblPr>
        <w:tblStyle w:val="Table1"/>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gridCol w:w="7560"/>
        <w:tblGridChange w:id="0">
          <w:tblGrid>
            <w:gridCol w:w="7560"/>
            <w:gridCol w:w="7560"/>
          </w:tblGrid>
        </w:tblGridChange>
      </w:tblGrid>
      <w:tr>
        <w:trPr>
          <w:cantSplit w:val="0"/>
          <w:trHeight w:val="874.92000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Proposed Legislation or Language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Rape Crisis Center Funding </w:t>
            </w:r>
          </w:p>
          <w:p w:rsidR="00000000" w:rsidDel="00000000" w:rsidP="00000000" w:rsidRDefault="00000000" w:rsidRPr="00000000" w14:paraId="00000006">
            <w:pPr>
              <w:widowControl w:val="0"/>
              <w:spacing w:line="240" w:lineRule="auto"/>
              <w:rPr>
                <w:rFonts w:ascii="Playfair Display" w:cs="Playfair Display" w:eastAsia="Playfair Display" w:hAnsi="Playfair Display"/>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numPr>
                <w:ilvl w:val="0"/>
                <w:numId w:val="1"/>
              </w:numPr>
              <w:spacing w:line="240" w:lineRule="auto"/>
              <w:ind w:left="720" w:hanging="360"/>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Fund Western NC RCCs</w:t>
            </w:r>
          </w:p>
          <w:p w:rsidR="00000000" w:rsidDel="00000000" w:rsidP="00000000" w:rsidRDefault="00000000" w:rsidRPr="00000000" w14:paraId="00000008">
            <w:pPr>
              <w:widowControl w:val="0"/>
              <w:numPr>
                <w:ilvl w:val="0"/>
                <w:numId w:val="1"/>
              </w:numPr>
              <w:spacing w:line="240" w:lineRule="auto"/>
              <w:ind w:left="720" w:hanging="360"/>
              <w:rPr>
                <w:rFonts w:ascii="Playfair Display" w:cs="Playfair Display" w:eastAsia="Playfair Display" w:hAnsi="Playfair Display"/>
                <w:sz w:val="24"/>
                <w:szCs w:val="24"/>
                <w:u w:val="none"/>
              </w:rPr>
            </w:pPr>
            <w:r w:rsidDel="00000000" w:rsidR="00000000" w:rsidRPr="00000000">
              <w:rPr>
                <w:rFonts w:ascii="Playfair Display" w:cs="Playfair Display" w:eastAsia="Playfair Display" w:hAnsi="Playfair Display"/>
                <w:sz w:val="24"/>
                <w:szCs w:val="24"/>
                <w:rtl w:val="0"/>
              </w:rPr>
              <w:t xml:space="preserve">Additional funding across state </w:t>
            </w:r>
          </w:p>
          <w:p w:rsidR="00000000" w:rsidDel="00000000" w:rsidP="00000000" w:rsidRDefault="00000000" w:rsidRPr="00000000" w14:paraId="00000009">
            <w:pPr>
              <w:widowControl w:val="0"/>
              <w:spacing w:line="240" w:lineRule="auto"/>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Playfair Display" w:cs="Playfair Display" w:eastAsia="Playfair Display" w:hAnsi="Playfair Display"/>
                <w:sz w:val="24"/>
                <w:szCs w:val="24"/>
              </w:rPr>
            </w:pPr>
            <w:r w:rsidDel="00000000" w:rsidR="00000000" w:rsidRPr="00000000">
              <w:rPr>
                <w:rtl w:val="0"/>
              </w:rPr>
            </w:r>
          </w:p>
        </w:tc>
      </w:tr>
    </w:tbl>
    <w:p w:rsidR="00000000" w:rsidDel="00000000" w:rsidP="00000000" w:rsidRDefault="00000000" w:rsidRPr="00000000" w14:paraId="0000000B">
      <w:pPr>
        <w:rPr>
          <w:rFonts w:ascii="Playfair Display" w:cs="Playfair Display" w:eastAsia="Playfair Display" w:hAnsi="Playfair Display"/>
          <w:b w:val="1"/>
          <w:sz w:val="36"/>
          <w:szCs w:val="36"/>
          <w:u w:val="single"/>
        </w:rPr>
      </w:pPr>
      <w:r w:rsidDel="00000000" w:rsidR="00000000" w:rsidRPr="00000000">
        <w:rPr>
          <w:rtl w:val="0"/>
        </w:rPr>
      </w:r>
    </w:p>
    <w:p w:rsidR="00000000" w:rsidDel="00000000" w:rsidP="00000000" w:rsidRDefault="00000000" w:rsidRPr="00000000" w14:paraId="0000000C">
      <w:pPr>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Crime Victims Compensation Update </w:t>
      </w:r>
      <w:r w:rsidDel="00000000" w:rsidR="00000000" w:rsidRPr="00000000">
        <w:rPr>
          <w:rtl w:val="0"/>
        </w:rPr>
      </w:r>
    </w:p>
    <w:tbl>
      <w:tblPr>
        <w:tblStyle w:val="Table2"/>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gridCol w:w="7560"/>
        <w:tblGridChange w:id="0">
          <w:tblGrid>
            <w:gridCol w:w="7560"/>
            <w:gridCol w:w="7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Proposed Legislation or Language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Requirement to report the crime to law enforcement within 72 hours. </w:t>
            </w:r>
            <w:r w:rsidDel="00000000" w:rsidR="00000000" w:rsidRPr="00000000">
              <w:rPr>
                <w:rtl w:val="0"/>
              </w:rPr>
            </w:r>
          </w:p>
          <w:p w:rsidR="00000000" w:rsidDel="00000000" w:rsidP="00000000" w:rsidRDefault="00000000" w:rsidRPr="00000000" w14:paraId="00000010">
            <w:pPr>
              <w:widowControl w:val="0"/>
              <w:spacing w:line="240" w:lineRule="auto"/>
              <w:rPr>
                <w:rFonts w:ascii="Playfair Display" w:cs="Playfair Display" w:eastAsia="Playfair Display" w:hAnsi="Playfair Display"/>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(3) The criminally injurious conduct was not reported to a law enforcement officer or agency within 72 hours of its occurrence, and there was no good cause for the delay;</w:t>
            </w:r>
            <w:r w:rsidDel="00000000" w:rsidR="00000000" w:rsidRPr="00000000">
              <w:rPr>
                <w:rtl w:val="0"/>
              </w:rPr>
            </w:r>
          </w:p>
        </w:tc>
      </w:tr>
    </w:tbl>
    <w:p w:rsidR="00000000" w:rsidDel="00000000" w:rsidP="00000000" w:rsidRDefault="00000000" w:rsidRPr="00000000" w14:paraId="00000012">
      <w:pPr>
        <w:jc w:val="center"/>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3">
      <w:pPr>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Aggravated Sexual Battery </w:t>
      </w:r>
    </w:p>
    <w:tbl>
      <w:tblPr>
        <w:tblStyle w:val="Table3"/>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gridCol w:w="7560"/>
        <w:tblGridChange w:id="0">
          <w:tblGrid>
            <w:gridCol w:w="7560"/>
            <w:gridCol w:w="7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Proposed Legislation or Language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b w:val="1"/>
                <w:sz w:val="24"/>
                <w:szCs w:val="24"/>
                <w:rtl w:val="0"/>
              </w:rPr>
              <w:t xml:space="preserve">Altering the statute to allow to cover situations where someone has intentionally assaulted an unconscious person </w:t>
            </w:r>
            <w:r w:rsidDel="00000000" w:rsidR="00000000" w:rsidRPr="00000000">
              <w:rPr>
                <w:rtl w:val="0"/>
              </w:rPr>
            </w:r>
          </w:p>
          <w:p w:rsidR="00000000" w:rsidDel="00000000" w:rsidP="00000000" w:rsidRDefault="00000000" w:rsidRPr="00000000" w14:paraId="00000017">
            <w:pPr>
              <w:widowControl w:val="0"/>
              <w:spacing w:line="240" w:lineRule="auto"/>
              <w:rPr>
                <w:rFonts w:ascii="Playfair Display" w:cs="Playfair Display" w:eastAsia="Playfair Display" w:hAnsi="Playfair Display"/>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hd w:fill="ffffff" w:val="clea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14-27.33 </w:t>
            </w:r>
          </w:p>
          <w:p w:rsidR="00000000" w:rsidDel="00000000" w:rsidP="00000000" w:rsidRDefault="00000000" w:rsidRPr="00000000" w14:paraId="00000019">
            <w:pPr>
              <w:shd w:fill="ffffff" w:val="clea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(b)Any person who commits the offense defined in section (a)(1) is guilty of a Class A1 misdemeanor. Any person who commits the offense defined in section (a)(2) is guilty of a Class F felony.</w:t>
            </w:r>
            <w:r w:rsidDel="00000000" w:rsidR="00000000" w:rsidRPr="00000000">
              <w:rPr>
                <w:rtl w:val="0"/>
              </w:rPr>
            </w:r>
          </w:p>
        </w:tc>
      </w:tr>
    </w:tbl>
    <w:p w:rsidR="00000000" w:rsidDel="00000000" w:rsidP="00000000" w:rsidRDefault="00000000" w:rsidRPr="00000000" w14:paraId="0000001A">
      <w:pPr>
        <w:jc w:val="center"/>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1B">
      <w:pPr>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Stop Abusive Litigation </w:t>
      </w:r>
    </w:p>
    <w:tbl>
      <w:tblPr>
        <w:tblStyle w:val="Table4"/>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gridCol w:w="7560"/>
        <w:tblGridChange w:id="0">
          <w:tblGrid>
            <w:gridCol w:w="7560"/>
            <w:gridCol w:w="7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Proposed Legislation or Language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It is becoming increasingly more common to hear from survivors that their abuser is using the court system to silence and harass them. </w:t>
            </w:r>
          </w:p>
          <w:p w:rsidR="00000000" w:rsidDel="00000000" w:rsidP="00000000" w:rsidRDefault="00000000" w:rsidRPr="00000000" w14:paraId="0000001F">
            <w:pPr>
              <w:widowControl w:val="0"/>
              <w:spacing w:line="240" w:lineRule="auto"/>
              <w:rPr>
                <w:rFonts w:ascii="Playfair Display" w:cs="Playfair Display" w:eastAsia="Playfair Display" w:hAnsi="Playfair Display"/>
                <w:b w:val="1"/>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Playfair Display" w:cs="Playfair Display" w:eastAsia="Playfair Display" w:hAnsi="Playfair Display"/>
                <w:b w:val="1"/>
                <w:sz w:val="24"/>
                <w:szCs w:val="24"/>
              </w:rPr>
            </w:pPr>
            <w:hyperlink r:id="rId6">
              <w:r w:rsidDel="00000000" w:rsidR="00000000" w:rsidRPr="00000000">
                <w:rPr>
                  <w:rFonts w:ascii="Playfair Display" w:cs="Playfair Display" w:eastAsia="Playfair Display" w:hAnsi="Playfair Display"/>
                  <w:b w:val="1"/>
                  <w:color w:val="1155cc"/>
                  <w:sz w:val="24"/>
                  <w:szCs w:val="24"/>
                  <w:u w:val="single"/>
                  <w:rtl w:val="0"/>
                </w:rPr>
                <w:t xml:space="preserve">https://www.ncleg.gov/Sessions/2021/Bills/House/PDF/H795v1.pdf</w:t>
              </w:r>
            </w:hyperlink>
            <w:r w:rsidDel="00000000" w:rsidR="00000000" w:rsidRPr="00000000">
              <w:rPr>
                <w:rtl w:val="0"/>
              </w:rPr>
            </w:r>
          </w:p>
        </w:tc>
      </w:tr>
    </w:tbl>
    <w:p w:rsidR="00000000" w:rsidDel="00000000" w:rsidP="00000000" w:rsidRDefault="00000000" w:rsidRPr="00000000" w14:paraId="00000022">
      <w:pPr>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23">
      <w:pPr>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Match Federal Video Voyeurism Law</w:t>
      </w:r>
    </w:p>
    <w:tbl>
      <w:tblPr>
        <w:tblStyle w:val="Table5"/>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gridCol w:w="7560"/>
        <w:tblGridChange w:id="0">
          <w:tblGrid>
            <w:gridCol w:w="7560"/>
            <w:gridCol w:w="7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Proposed Legislation or Language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59"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We have cases in North Carolina where the person is filmed without their consent and either finds the video prior to dissemination or is unable to prove dissemination so it doesn’t fall under the dissemination law.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Times New Roman" w:cs="Times New Roman" w:eastAsia="Times New Roman" w:hAnsi="Times New Roman"/>
                <w:b w:val="1"/>
                <w:i w:val="1"/>
                <w:color w:val="555555"/>
                <w:sz w:val="24"/>
                <w:szCs w:val="24"/>
              </w:rPr>
            </w:pPr>
            <w:r w:rsidDel="00000000" w:rsidR="00000000" w:rsidRPr="00000000">
              <w:rPr>
                <w:rFonts w:ascii="Times New Roman" w:cs="Times New Roman" w:eastAsia="Times New Roman" w:hAnsi="Times New Roman"/>
                <w:b w:val="1"/>
                <w:i w:val="1"/>
                <w:color w:val="555555"/>
                <w:sz w:val="24"/>
                <w:szCs w:val="24"/>
                <w:rtl w:val="0"/>
              </w:rPr>
              <w:t xml:space="preserve">has the intent to capture an image of a private area of someone without their consent, and knowingly does so under circumstances in which they have a reasonable expectation of privacy, shall be fined under this title or imprisoned not more than one year, or both.”</w:t>
            </w:r>
          </w:p>
          <w:p w:rsidR="00000000" w:rsidDel="00000000" w:rsidP="00000000" w:rsidRDefault="00000000" w:rsidRPr="00000000" w14:paraId="00000028">
            <w:pPr>
              <w:rPr>
                <w:rFonts w:ascii="Times New Roman" w:cs="Times New Roman" w:eastAsia="Times New Roman" w:hAnsi="Times New Roman"/>
                <w:b w:val="1"/>
                <w:i w:val="1"/>
                <w:color w:val="555555"/>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Playfair Display" w:cs="Playfair Display" w:eastAsia="Playfair Display" w:hAnsi="Playfair Display"/>
              </w:rPr>
            </w:pPr>
            <w:r w:rsidDel="00000000" w:rsidR="00000000" w:rsidRPr="00000000">
              <w:rPr>
                <w:rtl w:val="0"/>
              </w:rPr>
            </w:r>
          </w:p>
        </w:tc>
      </w:tr>
    </w:tbl>
    <w:p w:rsidR="00000000" w:rsidDel="00000000" w:rsidP="00000000" w:rsidRDefault="00000000" w:rsidRPr="00000000" w14:paraId="0000002A">
      <w:pPr>
        <w:rPr>
          <w:rFonts w:ascii="Playfair Display" w:cs="Playfair Display" w:eastAsia="Playfair Display" w:hAnsi="Playfair Display"/>
          <w:b w:val="1"/>
          <w:sz w:val="28"/>
          <w:szCs w:val="28"/>
        </w:rPr>
      </w:pPr>
      <w:r w:rsidDel="00000000" w:rsidR="00000000" w:rsidRPr="00000000">
        <w:rPr>
          <w:rtl w:val="0"/>
        </w:rPr>
      </w:r>
    </w:p>
    <w:p w:rsidR="00000000" w:rsidDel="00000000" w:rsidP="00000000" w:rsidRDefault="00000000" w:rsidRPr="00000000" w14:paraId="0000002B">
      <w:pPr>
        <w:ind w:left="720" w:firstLine="0"/>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Cyberstalking Alteration </w:t>
      </w:r>
    </w:p>
    <w:tbl>
      <w:tblPr>
        <w:tblStyle w:val="Table6"/>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gridCol w:w="7560"/>
        <w:tblGridChange w:id="0">
          <w:tblGrid>
            <w:gridCol w:w="7560"/>
            <w:gridCol w:w="7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Proposed Legislation or Language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59"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In cases where someone has a history of 50Bs but have been dropped, this would protect a victim even if the perpetrator owns the vehicle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Playfair Display" w:cs="Playfair Display" w:eastAsia="Playfair Display" w:hAnsi="Playfair Display"/>
                <w:sz w:val="24"/>
                <w:szCs w:val="24"/>
                <w:u w:val="single"/>
              </w:rPr>
            </w:pPr>
            <w:r w:rsidDel="00000000" w:rsidR="00000000" w:rsidRPr="00000000">
              <w:rPr>
                <w:rFonts w:ascii="Playfair Display" w:cs="Playfair Display" w:eastAsia="Playfair Display" w:hAnsi="Playfair Display"/>
                <w:sz w:val="24"/>
                <w:szCs w:val="24"/>
                <w:rtl w:val="0"/>
              </w:rPr>
              <w:t xml:space="preserve">G.S. 14-196.3 b. The owner or lessee of any vehicle on which the owner or lessee installs, places, or uses an electronic tracking device, unless the owner or lessee is subject to (i) a domestic violence protective order under Chapter 50B of the General Statutes or (ii) any court order that orders the owner or lessee not to assault, threaten, harass, follow, or contact a driver or occupant of the vehicle; </w:t>
            </w:r>
            <w:r w:rsidDel="00000000" w:rsidR="00000000" w:rsidRPr="00000000">
              <w:rPr>
                <w:rFonts w:ascii="Playfair Display" w:cs="Playfair Display" w:eastAsia="Playfair Display" w:hAnsi="Playfair Display"/>
                <w:sz w:val="24"/>
                <w:szCs w:val="24"/>
                <w:u w:val="single"/>
                <w:rtl w:val="0"/>
              </w:rPr>
              <w:t xml:space="preserve">or (iii) if the owner or lessee has a history of domestic violence, stalking, communicating threats, or cyberstalking.</w:t>
            </w:r>
            <w:r w:rsidDel="00000000" w:rsidR="00000000" w:rsidRPr="00000000">
              <w:rPr>
                <w:rtl w:val="0"/>
              </w:rPr>
            </w:r>
          </w:p>
        </w:tc>
      </w:tr>
    </w:tbl>
    <w:p w:rsidR="00000000" w:rsidDel="00000000" w:rsidP="00000000" w:rsidRDefault="00000000" w:rsidRPr="00000000" w14:paraId="00000030">
      <w:pPr>
        <w:rPr>
          <w:rFonts w:ascii="Playfair Display" w:cs="Playfair Display" w:eastAsia="Playfair Display" w:hAnsi="Playfair Display"/>
          <w:b w:val="1"/>
          <w:sz w:val="36"/>
          <w:szCs w:val="36"/>
          <w:u w:val="single"/>
        </w:rPr>
      </w:pPr>
      <w:r w:rsidDel="00000000" w:rsidR="00000000" w:rsidRPr="00000000">
        <w:rPr>
          <w:rtl w:val="0"/>
        </w:rPr>
      </w:r>
    </w:p>
    <w:p w:rsidR="00000000" w:rsidDel="00000000" w:rsidP="00000000" w:rsidRDefault="00000000" w:rsidRPr="00000000" w14:paraId="00000031">
      <w:pPr>
        <w:ind w:left="720" w:firstLine="0"/>
        <w:jc w:val="center"/>
        <w:rPr>
          <w:rFonts w:ascii="Playfair Display" w:cs="Playfair Display" w:eastAsia="Playfair Display" w:hAnsi="Playfair Display"/>
          <w:b w:val="1"/>
          <w:sz w:val="28"/>
          <w:szCs w:val="28"/>
        </w:rPr>
      </w:pPr>
      <w:r w:rsidDel="00000000" w:rsidR="00000000" w:rsidRPr="00000000">
        <w:rPr>
          <w:rFonts w:ascii="Playfair Display" w:cs="Playfair Display" w:eastAsia="Playfair Display" w:hAnsi="Playfair Display"/>
          <w:b w:val="1"/>
          <w:sz w:val="28"/>
          <w:szCs w:val="28"/>
          <w:rtl w:val="0"/>
        </w:rPr>
        <w:t xml:space="preserve">Sexual Activity with a Minor: Church personnel </w:t>
      </w:r>
    </w:p>
    <w:tbl>
      <w:tblPr>
        <w:tblStyle w:val="Table7"/>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0"/>
        <w:gridCol w:w="7560"/>
        <w:tblGridChange w:id="0">
          <w:tblGrid>
            <w:gridCol w:w="7560"/>
            <w:gridCol w:w="7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Priority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Playfair Display" w:cs="Playfair Display" w:eastAsia="Playfair Display" w:hAnsi="Playfair Display"/>
                <w:b w:val="1"/>
                <w:sz w:val="24"/>
                <w:szCs w:val="24"/>
              </w:rPr>
            </w:pPr>
            <w:r w:rsidDel="00000000" w:rsidR="00000000" w:rsidRPr="00000000">
              <w:rPr>
                <w:rFonts w:ascii="Playfair Display" w:cs="Playfair Display" w:eastAsia="Playfair Display" w:hAnsi="Playfair Display"/>
                <w:b w:val="1"/>
                <w:sz w:val="24"/>
                <w:szCs w:val="24"/>
                <w:rtl w:val="0"/>
              </w:rPr>
              <w:t xml:space="preserve">Proposed Legislation or Language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59" w:lineRule="auto"/>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Similar to our statute for teachers, this change would directly state that the age of consent in North Carolina (16) is not a defense for employees and clergy in statutory rape cases.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Fonts w:ascii="Playfair Display" w:cs="Playfair Display" w:eastAsia="Playfair Display" w:hAnsi="Playfair Display"/>
                <w:b w:val="1"/>
                <w:rtl w:val="0"/>
              </w:rPr>
              <w:t xml:space="preserve">Sexual activity with a person under age 18: religious institutions</w:t>
            </w:r>
            <w:r w:rsidDel="00000000" w:rsidR="00000000" w:rsidRPr="00000000">
              <w:rPr>
                <w:rFonts w:ascii="Playfair Display" w:cs="Playfair Display" w:eastAsia="Playfair Display" w:hAnsi="Playfair Display"/>
                <w:rtl w:val="0"/>
              </w:rPr>
              <w:br w:type="textWrapping"/>
              <w:t xml:space="preserve">     (a) If a defendant, who is an employee, administrator, or volunteer at a religious organization/institution, at any age, and who is at least four years older than the victim engages in vaginal intercourse or a sexual act with a victim who is a part of that same institution or organization, at any time during or after the time the defendant and victim were present together in the organization, but before the victim ceases to be 18, the defendant is guilty of a Class G felony, except when the defendant is lawfully married to the minor. The term "same institution or organization" means a religious organization at which the student is a member, enrolled, or volunteers and the defendant is employed, assigned, or volunteers. </w:t>
              <w:br w:type="textWrapping"/>
              <w:t xml:space="preserve">     (b) A defendant who is an employee, administrator, or volunteer at religious organizations/institutions, and is less than four years older than the victim and engages in vaginal intercourse or a sexual act with a victim who a member, enrolled, or volunteers at the same religious or nonprofit organization, is guilty of a Class I felony. </w:t>
              <w:br w:type="textWrapping"/>
              <w:t xml:space="preserve">     (c) This section shall apply unless the conduct is covered under some other provision of law providing for greater punishment. </w:t>
              <w:br w:type="textWrapping"/>
              <w:t xml:space="preserve">     (d) Consent is not a defense to a charge under this section.</w:t>
            </w:r>
            <w:r w:rsidDel="00000000" w:rsidR="00000000" w:rsidRPr="00000000">
              <w:rPr>
                <w:rtl w:val="0"/>
              </w:rPr>
              <w:t xml:space="preserve"> </w:t>
            </w:r>
          </w:p>
        </w:tc>
      </w:tr>
    </w:tbl>
    <w:p w:rsidR="00000000" w:rsidDel="00000000" w:rsidP="00000000" w:rsidRDefault="00000000" w:rsidRPr="00000000" w14:paraId="00000036">
      <w:pPr>
        <w:rPr>
          <w:color w:val="1155cc"/>
          <w:highlight w:val="white"/>
        </w:rPr>
      </w:pPr>
      <w:r w:rsidDel="00000000" w:rsidR="00000000" w:rsidRPr="00000000">
        <w:rPr>
          <w:rtl w:val="0"/>
        </w:rPr>
      </w:r>
    </w:p>
    <w:p w:rsidR="00000000" w:rsidDel="00000000" w:rsidP="00000000" w:rsidRDefault="00000000" w:rsidRPr="00000000" w14:paraId="00000037">
      <w:pPr>
        <w:rPr>
          <w:color w:val="1155cc"/>
          <w:highlight w:val="white"/>
        </w:rPr>
      </w:pPr>
      <w:r w:rsidDel="00000000" w:rsidR="00000000" w:rsidRPr="00000000">
        <w:rPr>
          <w:rtl w:val="0"/>
        </w:rPr>
      </w:r>
    </w:p>
    <w:p w:rsidR="00000000" w:rsidDel="00000000" w:rsidP="00000000" w:rsidRDefault="00000000" w:rsidRPr="00000000" w14:paraId="00000038">
      <w:pPr>
        <w:rPr>
          <w:color w:val="1155cc"/>
          <w:highlight w:val="white"/>
        </w:rPr>
      </w:pPr>
      <w:r w:rsidDel="00000000" w:rsidR="00000000" w:rsidRPr="00000000">
        <w:rPr>
          <w:rtl w:val="0"/>
        </w:rPr>
      </w:r>
    </w:p>
    <w:p w:rsidR="00000000" w:rsidDel="00000000" w:rsidP="00000000" w:rsidRDefault="00000000" w:rsidRPr="00000000" w14:paraId="00000039">
      <w:pPr>
        <w:rPr>
          <w:color w:val="1155cc"/>
          <w:highlight w:val="white"/>
        </w:rPr>
      </w:pPr>
      <w:r w:rsidDel="00000000" w:rsidR="00000000" w:rsidRPr="00000000">
        <w:rPr>
          <w:rtl w:val="0"/>
        </w:rPr>
      </w:r>
    </w:p>
    <w:sectPr>
      <w:headerReference r:id="rId7" w:type="default"/>
      <w:footerReference r:id="rId8" w:type="default"/>
      <w:pgSz w:h="12240" w:w="15840" w:orient="landscape"/>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rFonts w:ascii="Playfair Display" w:cs="Playfair Display" w:eastAsia="Playfair Display" w:hAnsi="Playfair Display"/>
      </w:rPr>
    </w:pPr>
    <w:r w:rsidDel="00000000" w:rsidR="00000000" w:rsidRPr="00000000">
      <w:rPr>
        <w:rFonts w:ascii="Playfair Display" w:cs="Playfair Display" w:eastAsia="Playfair Display" w:hAnsi="Playfair Display"/>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pPr>
    <w:r w:rsidDel="00000000" w:rsidR="00000000" w:rsidRPr="00000000">
      <w:rPr/>
      <w:drawing>
        <wp:inline distB="114300" distT="114300" distL="114300" distR="114300">
          <wp:extent cx="4286250" cy="1257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86250" cy="1257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cleg.gov/Sessions/2021/Bills/House/PDF/H795v1.pdf"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